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9EE41" w14:textId="6606CA01"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w:t>
      </w:r>
      <w:r w:rsidR="00072A5B">
        <w:rPr>
          <w:bCs/>
          <w:noProof w:val="0"/>
          <w:sz w:val="24"/>
          <w:szCs w:val="24"/>
        </w:rPr>
        <w:t>8</w:t>
      </w:r>
      <w:r w:rsidR="001348FE">
        <w:rPr>
          <w:bCs/>
          <w:noProof w:val="0"/>
          <w:sz w:val="24"/>
          <w:szCs w:val="24"/>
        </w:rPr>
        <w:tab/>
      </w:r>
      <w:r w:rsidR="00581AC9">
        <w:rPr>
          <w:bCs/>
          <w:noProof w:val="0"/>
          <w:sz w:val="24"/>
          <w:szCs w:val="24"/>
        </w:rPr>
        <w:tab/>
      </w:r>
      <w:r w:rsidR="00581AC9">
        <w:rPr>
          <w:bCs/>
          <w:noProof w:val="0"/>
          <w:sz w:val="24"/>
          <w:szCs w:val="24"/>
        </w:rPr>
        <w:tab/>
      </w:r>
      <w:r w:rsidR="00581AC9">
        <w:rPr>
          <w:bCs/>
          <w:noProof w:val="0"/>
          <w:sz w:val="24"/>
          <w:szCs w:val="24"/>
        </w:rPr>
        <w:tab/>
      </w:r>
      <w:r w:rsidR="00581AC9">
        <w:rPr>
          <w:bCs/>
          <w:noProof w:val="0"/>
          <w:sz w:val="24"/>
          <w:szCs w:val="24"/>
        </w:rPr>
        <w:tab/>
      </w:r>
      <w:r w:rsidR="00581AC9">
        <w:rPr>
          <w:bCs/>
          <w:noProof w:val="0"/>
          <w:sz w:val="24"/>
          <w:szCs w:val="24"/>
        </w:rPr>
        <w:tab/>
      </w:r>
      <w:r w:rsidR="00581AC9">
        <w:rPr>
          <w:bCs/>
          <w:noProof w:val="0"/>
          <w:sz w:val="24"/>
          <w:szCs w:val="24"/>
        </w:rPr>
        <w:tab/>
      </w:r>
      <w:r w:rsidR="00581AC9">
        <w:rPr>
          <w:bCs/>
          <w:noProof w:val="0"/>
          <w:sz w:val="24"/>
          <w:szCs w:val="24"/>
        </w:rPr>
        <w:tab/>
      </w:r>
      <w:r w:rsidR="00581AC9">
        <w:rPr>
          <w:bCs/>
          <w:noProof w:val="0"/>
          <w:sz w:val="24"/>
          <w:szCs w:val="24"/>
        </w:rPr>
        <w:tab/>
      </w:r>
      <w:r w:rsidR="00581AC9">
        <w:rPr>
          <w:bCs/>
          <w:noProof w:val="0"/>
          <w:sz w:val="24"/>
          <w:szCs w:val="24"/>
        </w:rPr>
        <w:tab/>
      </w:r>
      <w:r w:rsidR="00581AC9">
        <w:rPr>
          <w:bCs/>
          <w:noProof w:val="0"/>
          <w:sz w:val="24"/>
          <w:szCs w:val="24"/>
        </w:rPr>
        <w:tab/>
      </w:r>
      <w:r w:rsidR="00581AC9">
        <w:rPr>
          <w:bCs/>
          <w:noProof w:val="0"/>
          <w:sz w:val="24"/>
          <w:szCs w:val="24"/>
        </w:rPr>
        <w:tab/>
      </w:r>
      <w:r w:rsidR="00581AC9">
        <w:rPr>
          <w:bCs/>
          <w:noProof w:val="0"/>
          <w:sz w:val="24"/>
          <w:szCs w:val="24"/>
        </w:rPr>
        <w:tab/>
      </w:r>
      <w:r w:rsidR="006210C8" w:rsidRPr="006210C8">
        <w:rPr>
          <w:bCs/>
          <w:noProof w:val="0"/>
          <w:sz w:val="24"/>
          <w:szCs w:val="24"/>
        </w:rPr>
        <w:t>R1-19</w:t>
      </w:r>
      <w:r w:rsidR="00E4038A">
        <w:rPr>
          <w:bCs/>
          <w:noProof w:val="0"/>
          <w:sz w:val="24"/>
          <w:szCs w:val="24"/>
        </w:rPr>
        <w:t>0</w:t>
      </w:r>
      <w:r w:rsidR="00A74C0F">
        <w:rPr>
          <w:bCs/>
          <w:noProof w:val="0"/>
          <w:sz w:val="24"/>
          <w:szCs w:val="24"/>
        </w:rPr>
        <w:t>99</w:t>
      </w:r>
      <w:r w:rsidR="00581AC9">
        <w:rPr>
          <w:bCs/>
          <w:noProof w:val="0"/>
          <w:sz w:val="24"/>
          <w:szCs w:val="24"/>
        </w:rPr>
        <w:t>34</w:t>
      </w:r>
    </w:p>
    <w:p w14:paraId="68C5EAAF" w14:textId="764A9EC1" w:rsidR="00850D96" w:rsidRDefault="007208C5" w:rsidP="00CA26CE">
      <w:pPr>
        <w:pStyle w:val="Header"/>
        <w:rPr>
          <w:bCs/>
          <w:noProof w:val="0"/>
          <w:sz w:val="24"/>
          <w:lang w:val="en-GB" w:eastAsia="ja-JP"/>
        </w:rPr>
      </w:pPr>
      <w:r>
        <w:rPr>
          <w:bCs/>
          <w:noProof w:val="0"/>
          <w:sz w:val="24"/>
          <w:szCs w:val="24"/>
        </w:rPr>
        <w:t>Prague, CZ, August 26</w:t>
      </w:r>
      <w:r w:rsidRPr="007208C5">
        <w:rPr>
          <w:bCs/>
          <w:noProof w:val="0"/>
          <w:sz w:val="24"/>
          <w:szCs w:val="24"/>
          <w:vertAlign w:val="superscript"/>
        </w:rPr>
        <w:t>th</w:t>
      </w:r>
      <w:r>
        <w:rPr>
          <w:bCs/>
          <w:noProof w:val="0"/>
          <w:sz w:val="24"/>
          <w:szCs w:val="24"/>
        </w:rPr>
        <w:t xml:space="preserve"> – 30</w:t>
      </w:r>
      <w:r w:rsidRPr="007208C5">
        <w:rPr>
          <w:bCs/>
          <w:noProof w:val="0"/>
          <w:sz w:val="24"/>
          <w:szCs w:val="24"/>
          <w:vertAlign w:val="superscript"/>
        </w:rPr>
        <w:t>th</w:t>
      </w:r>
      <w:r>
        <w:rPr>
          <w:bCs/>
          <w:noProof w:val="0"/>
          <w:sz w:val="24"/>
          <w:szCs w:val="24"/>
        </w:rPr>
        <w:t xml:space="preserve"> </w:t>
      </w:r>
      <w:r w:rsidR="008E6434">
        <w:rPr>
          <w:bCs/>
          <w:noProof w:val="0"/>
          <w:sz w:val="24"/>
          <w:lang w:val="en-GB" w:eastAsia="ja-JP"/>
        </w:rPr>
        <w:t>2019</w:t>
      </w:r>
    </w:p>
    <w:p w14:paraId="37415836" w14:textId="77777777" w:rsidR="007208C5" w:rsidRPr="007208C5" w:rsidRDefault="007208C5" w:rsidP="00CA26CE">
      <w:pPr>
        <w:pStyle w:val="Header"/>
        <w:rPr>
          <w:bCs/>
          <w:noProof w:val="0"/>
          <w:sz w:val="24"/>
          <w:szCs w:val="24"/>
          <w:lang w:val="en-GB"/>
        </w:rPr>
      </w:pPr>
    </w:p>
    <w:p w14:paraId="0BC928D3" w14:textId="77777777" w:rsidR="008E6434" w:rsidRPr="008E6434" w:rsidRDefault="008E6434" w:rsidP="00CA26CE">
      <w:pPr>
        <w:pStyle w:val="Header"/>
        <w:rPr>
          <w:bCs/>
          <w:noProof w:val="0"/>
          <w:sz w:val="24"/>
          <w:lang w:eastAsia="ja-JP"/>
        </w:rPr>
      </w:pPr>
    </w:p>
    <w:p w14:paraId="3F2FD3AF" w14:textId="5BAB773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w:t>
      </w:r>
    </w:p>
    <w:p w14:paraId="28D8C0C9" w14:textId="19AC011A"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581AC9" w:rsidRPr="00581AC9">
        <w:rPr>
          <w:rFonts w:ascii="Arial" w:hAnsi="Arial" w:cs="Arial"/>
          <w:b/>
          <w:bCs/>
          <w:sz w:val="24"/>
          <w:szCs w:val="24"/>
        </w:rPr>
        <w:t>WI rapporteur (Nokia)</w:t>
      </w:r>
    </w:p>
    <w:p w14:paraId="1E689B30" w14:textId="2860230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81AC9" w:rsidRPr="00581AC9">
        <w:rPr>
          <w:rFonts w:ascii="Arial" w:hAnsi="Arial" w:cs="Arial"/>
          <w:b/>
          <w:bCs/>
          <w:sz w:val="24"/>
        </w:rPr>
        <w:t>List of RRC parameters for Multi-RAT Dual-Connectivity and Carrier Aggregation enhancements</w:t>
      </w:r>
    </w:p>
    <w:p w14:paraId="2E1654CF" w14:textId="362A0C03"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r w:rsidR="00FA5D41">
        <w:rPr>
          <w:rFonts w:ascii="Arial" w:hAnsi="Arial" w:cs="Arial"/>
          <w:b/>
          <w:bCs/>
          <w:sz w:val="24"/>
          <w:szCs w:val="24"/>
        </w:rPr>
        <w:t>/Decision</w:t>
      </w:r>
      <w:bookmarkStart w:id="0" w:name="_GoBack"/>
      <w:bookmarkEnd w:id="0"/>
    </w:p>
    <w:p w14:paraId="7B921442" w14:textId="77777777" w:rsidR="00581AC9" w:rsidRPr="004F6082" w:rsidRDefault="00581AC9" w:rsidP="00581AC9">
      <w:pPr>
        <w:pStyle w:val="Heading1"/>
        <w:numPr>
          <w:ilvl w:val="0"/>
          <w:numId w:val="0"/>
        </w:numPr>
      </w:pPr>
      <w:r w:rsidRPr="004F6082">
        <w:t>Multi-RAT Dual-Connectivity and Carrier Aggregation enhancements (LTE, NR)</w:t>
      </w:r>
    </w:p>
    <w:p w14:paraId="2E202F13" w14:textId="77777777" w:rsidR="00581AC9" w:rsidRPr="001F2590" w:rsidRDefault="00581AC9" w:rsidP="00581AC9">
      <w:proofErr w:type="spellStart"/>
      <w:r w:rsidRPr="001F2590">
        <w:rPr>
          <w:rFonts w:eastAsia="Batang"/>
          <w:i/>
          <w:szCs w:val="24"/>
          <w:lang w:eastAsia="x-none"/>
        </w:rPr>
        <w:t>LTE_NR_DC_CA_enh</w:t>
      </w:r>
      <w:proofErr w:type="spellEnd"/>
      <w:r w:rsidRPr="001F2590">
        <w:rPr>
          <w:rFonts w:eastAsia="Batang"/>
          <w:i/>
          <w:szCs w:val="24"/>
          <w:lang w:eastAsia="x-none"/>
        </w:rPr>
        <w:t>-Core; WID in</w:t>
      </w:r>
      <w:r w:rsidRPr="001F2590">
        <w:rPr>
          <w:rFonts w:eastAsia="DengXian"/>
          <w:color w:val="707070"/>
          <w:kern w:val="24"/>
          <w:sz w:val="48"/>
          <w:szCs w:val="48"/>
        </w:rPr>
        <w:t xml:space="preserve"> </w:t>
      </w:r>
      <w:hyperlink r:id="rId13" w:history="1">
        <w:r w:rsidRPr="001F2590">
          <w:rPr>
            <w:rFonts w:eastAsia="Batang"/>
            <w:i/>
            <w:color w:val="0000FF"/>
            <w:szCs w:val="24"/>
            <w:u w:val="single"/>
          </w:rPr>
          <w:t>RP-192336</w:t>
        </w:r>
      </w:hyperlink>
    </w:p>
    <w:p w14:paraId="23BAB290" w14:textId="77777777" w:rsidR="00581AC9" w:rsidRPr="00AA43AD" w:rsidRDefault="00581AC9" w:rsidP="00581AC9">
      <w:pPr>
        <w:rPr>
          <w:color w:val="FF0000"/>
        </w:rPr>
      </w:pPr>
      <w:r w:rsidRPr="00AA43AD">
        <w:rPr>
          <w:color w:val="FF0000"/>
        </w:rPr>
        <w:t>V0.1, September 26</w:t>
      </w:r>
      <w:r w:rsidRPr="00AA43AD">
        <w:rPr>
          <w:color w:val="FF0000"/>
          <w:vertAlign w:val="superscript"/>
        </w:rPr>
        <w:t>th</w:t>
      </w:r>
      <w:proofErr w:type="gramStart"/>
      <w:r w:rsidRPr="00AA43AD">
        <w:rPr>
          <w:color w:val="FF0000"/>
        </w:rPr>
        <w:t xml:space="preserve"> 2019</w:t>
      </w:r>
      <w:proofErr w:type="gramEnd"/>
    </w:p>
    <w:p w14:paraId="4C60FCCD" w14:textId="77777777" w:rsidR="00581AC9" w:rsidRDefault="00581AC9" w:rsidP="00581AC9">
      <w:r>
        <w:t>This document does not collect the UE capability signalling related to the new features.</w:t>
      </w:r>
    </w:p>
    <w:p w14:paraId="3FCF310B" w14:textId="77777777" w:rsidR="00581AC9" w:rsidRPr="004F6082" w:rsidRDefault="00581AC9" w:rsidP="00581AC9">
      <w:pPr>
        <w:pStyle w:val="Heading2"/>
        <w:numPr>
          <w:ilvl w:val="0"/>
          <w:numId w:val="0"/>
        </w:numPr>
      </w:pPr>
      <w:r>
        <w:t>1.</w:t>
      </w:r>
      <w:r>
        <w:tab/>
      </w:r>
      <w:r w:rsidRPr="004F6082">
        <w:t>Uplink Power Control for Supporting NR-NR Dual-Connectivity</w:t>
      </w:r>
    </w:p>
    <w:p w14:paraId="0A995468" w14:textId="77777777" w:rsidR="00581AC9" w:rsidRDefault="00581AC9" w:rsidP="00581AC9">
      <w:r>
        <w:t>No agreements that can be translated to RRC parameters</w:t>
      </w:r>
    </w:p>
    <w:p w14:paraId="3747D25A" w14:textId="77777777" w:rsidR="00581AC9" w:rsidRDefault="00581AC9" w:rsidP="00581AC9"/>
    <w:p w14:paraId="595DA5DA" w14:textId="77777777" w:rsidR="00581AC9" w:rsidRPr="005C25A5" w:rsidRDefault="00581AC9" w:rsidP="00581AC9">
      <w:pPr>
        <w:pStyle w:val="Heading2"/>
        <w:numPr>
          <w:ilvl w:val="0"/>
          <w:numId w:val="0"/>
        </w:numPr>
      </w:pPr>
      <w:r>
        <w:t>2.</w:t>
      </w:r>
      <w:r>
        <w:tab/>
      </w:r>
      <w:r w:rsidRPr="005C25A5">
        <w:t xml:space="preserve">Enhancements to Single Tx Switched </w:t>
      </w:r>
      <w:r w:rsidRPr="00006EA4">
        <w:t>Uplink</w:t>
      </w:r>
      <w:r w:rsidRPr="005C25A5">
        <w:t xml:space="preserve"> Solution for EN-DC</w:t>
      </w:r>
    </w:p>
    <w:p w14:paraId="78B09042" w14:textId="77777777" w:rsidR="00581AC9" w:rsidRDefault="00581AC9" w:rsidP="00581AC9">
      <w:r>
        <w:t xml:space="preserve">Extending the TDD pattern for EN-DC with TDD </w:t>
      </w:r>
      <w:proofErr w:type="spellStart"/>
      <w:r>
        <w:t>PCell</w:t>
      </w:r>
      <w:proofErr w:type="spellEnd"/>
      <w:r>
        <w:t xml:space="preserve"> has two possible ways of enabling the configuration in the LTE RRC TS36.331. Either modify the R154 condition or introduce a new parameter for TDD </w:t>
      </w:r>
      <w:proofErr w:type="spellStart"/>
      <w:r>
        <w:t>PCell</w:t>
      </w:r>
      <w:proofErr w:type="spellEnd"/>
      <w:r>
        <w:t>.</w:t>
      </w:r>
    </w:p>
    <w:tbl>
      <w:tblPr>
        <w:tblW w:w="14739" w:type="dxa"/>
        <w:tblInd w:w="-5" w:type="dxa"/>
        <w:tblLayout w:type="fixed"/>
        <w:tblLook w:val="04A0" w:firstRow="1" w:lastRow="0" w:firstColumn="1" w:lastColumn="0" w:noHBand="0" w:noVBand="1"/>
      </w:tblPr>
      <w:tblGrid>
        <w:gridCol w:w="851"/>
        <w:gridCol w:w="1981"/>
        <w:gridCol w:w="1701"/>
        <w:gridCol w:w="1560"/>
        <w:gridCol w:w="992"/>
        <w:gridCol w:w="1276"/>
        <w:gridCol w:w="992"/>
        <w:gridCol w:w="5386"/>
      </w:tblGrid>
      <w:tr w:rsidR="00581AC9" w:rsidRPr="00376593" w14:paraId="0301DD78" w14:textId="77777777" w:rsidTr="00581AC9">
        <w:trPr>
          <w:trHeight w:val="400"/>
        </w:trPr>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289B1BAE"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New or existing</w:t>
            </w:r>
          </w:p>
        </w:tc>
        <w:tc>
          <w:tcPr>
            <w:tcW w:w="1981"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14:paraId="6181A4AC"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Parameter name in specification</w:t>
            </w:r>
          </w:p>
        </w:tc>
        <w:tc>
          <w:tcPr>
            <w:tcW w:w="1701"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459738BF"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Description</w:t>
            </w:r>
          </w:p>
        </w:tc>
        <w:tc>
          <w:tcPr>
            <w:tcW w:w="1560"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14:paraId="5568BE31"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Value range</w:t>
            </w:r>
          </w:p>
        </w:tc>
        <w:tc>
          <w:tcPr>
            <w:tcW w:w="992"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2E555098"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Default value</w:t>
            </w:r>
          </w:p>
        </w:tc>
        <w:tc>
          <w:tcPr>
            <w:tcW w:w="1276"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1A019530"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UE specific/Cell specific</w:t>
            </w:r>
          </w:p>
        </w:tc>
        <w:tc>
          <w:tcPr>
            <w:tcW w:w="992"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49C50E3B" w14:textId="77777777" w:rsidR="00581AC9" w:rsidRPr="006A6944" w:rsidRDefault="00581AC9" w:rsidP="002B3476">
            <w:pPr>
              <w:spacing w:after="0"/>
              <w:jc w:val="center"/>
              <w:rPr>
                <w:rFonts w:eastAsia="Times New Roman"/>
                <w:b/>
                <w:bCs/>
                <w:sz w:val="16"/>
                <w:szCs w:val="16"/>
              </w:rPr>
            </w:pPr>
            <w:r>
              <w:rPr>
                <w:rFonts w:eastAsia="Times New Roman"/>
                <w:b/>
                <w:bCs/>
                <w:sz w:val="16"/>
                <w:szCs w:val="16"/>
              </w:rPr>
              <w:t>RAN1 spec</w:t>
            </w:r>
          </w:p>
        </w:tc>
        <w:tc>
          <w:tcPr>
            <w:tcW w:w="5386"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27BFC554"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Comment</w:t>
            </w:r>
          </w:p>
        </w:tc>
      </w:tr>
      <w:tr w:rsidR="00581AC9" w:rsidRPr="00376593" w14:paraId="29C67DE8" w14:textId="77777777" w:rsidTr="00581AC9">
        <w:trPr>
          <w:trHeight w:val="40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999EFAD" w14:textId="77777777" w:rsidR="00581AC9" w:rsidRPr="00244F12" w:rsidRDefault="00581AC9" w:rsidP="002B3476">
            <w:pPr>
              <w:spacing w:after="0"/>
              <w:jc w:val="center"/>
              <w:rPr>
                <w:sz w:val="16"/>
                <w:szCs w:val="16"/>
                <w:lang w:eastAsia="zh-CN"/>
              </w:rPr>
            </w:pPr>
            <w:r>
              <w:rPr>
                <w:sz w:val="16"/>
                <w:szCs w:val="16"/>
                <w:lang w:eastAsia="zh-CN"/>
              </w:rPr>
              <w:t>Old</w:t>
            </w:r>
          </w:p>
        </w:tc>
        <w:tc>
          <w:tcPr>
            <w:tcW w:w="1981" w:type="dxa"/>
            <w:tcBorders>
              <w:top w:val="single" w:sz="4" w:space="0" w:color="auto"/>
              <w:left w:val="nil"/>
              <w:bottom w:val="single" w:sz="4" w:space="0" w:color="auto"/>
              <w:right w:val="single" w:sz="4" w:space="0" w:color="auto"/>
            </w:tcBorders>
            <w:shd w:val="clear" w:color="auto" w:fill="auto"/>
            <w:noWrap/>
          </w:tcPr>
          <w:p w14:paraId="218CAAB3" w14:textId="77777777" w:rsidR="00581AC9" w:rsidRPr="00244F12" w:rsidRDefault="00581AC9" w:rsidP="002B3476">
            <w:pPr>
              <w:spacing w:after="0"/>
              <w:jc w:val="center"/>
              <w:rPr>
                <w:rStyle w:val="fontstyle01"/>
                <w:rFonts w:hint="eastAsia"/>
                <w:i/>
                <w:sz w:val="16"/>
                <w:szCs w:val="16"/>
                <w:lang w:eastAsia="zh-CN"/>
              </w:rPr>
            </w:pPr>
            <w:proofErr w:type="spellStart"/>
            <w:r w:rsidRPr="00244F12">
              <w:rPr>
                <w:i/>
                <w:color w:val="0D0D0D" w:themeColor="text1" w:themeTint="F2"/>
                <w:sz w:val="16"/>
                <w:szCs w:val="16"/>
              </w:rPr>
              <w:t>tdm-PatternConfig</w:t>
            </w:r>
            <w:proofErr w:type="spellEnd"/>
          </w:p>
        </w:tc>
        <w:tc>
          <w:tcPr>
            <w:tcW w:w="3261" w:type="dxa"/>
            <w:gridSpan w:val="2"/>
            <w:tcBorders>
              <w:top w:val="single" w:sz="4" w:space="0" w:color="auto"/>
              <w:left w:val="nil"/>
              <w:bottom w:val="single" w:sz="4" w:space="0" w:color="auto"/>
              <w:right w:val="single" w:sz="4" w:space="0" w:color="auto"/>
            </w:tcBorders>
            <w:shd w:val="clear" w:color="auto" w:fill="auto"/>
          </w:tcPr>
          <w:p w14:paraId="2C7D6055" w14:textId="77777777" w:rsidR="00581AC9" w:rsidRPr="00244F12" w:rsidRDefault="00581AC9" w:rsidP="002B3476">
            <w:pPr>
              <w:spacing w:after="0"/>
              <w:jc w:val="center"/>
              <w:rPr>
                <w:rFonts w:eastAsia="Times New Roman"/>
                <w:sz w:val="16"/>
                <w:szCs w:val="16"/>
              </w:rPr>
            </w:pPr>
            <w:r>
              <w:rPr>
                <w:sz w:val="16"/>
                <w:szCs w:val="16"/>
                <w:lang w:eastAsia="zh-CN"/>
              </w:rPr>
              <w:t xml:space="preserve">No change to the R15 </w:t>
            </w:r>
            <w:proofErr w:type="spellStart"/>
            <w:r w:rsidRPr="00244F12">
              <w:rPr>
                <w:i/>
                <w:color w:val="0D0D0D" w:themeColor="text1" w:themeTint="F2"/>
                <w:sz w:val="16"/>
                <w:szCs w:val="16"/>
              </w:rPr>
              <w:t>tdm-PatternConfig</w:t>
            </w:r>
            <w:proofErr w:type="spellEnd"/>
          </w:p>
        </w:tc>
        <w:tc>
          <w:tcPr>
            <w:tcW w:w="992" w:type="dxa"/>
            <w:tcBorders>
              <w:top w:val="single" w:sz="4" w:space="0" w:color="auto"/>
              <w:left w:val="nil"/>
              <w:bottom w:val="single" w:sz="4" w:space="0" w:color="auto"/>
              <w:right w:val="single" w:sz="4" w:space="0" w:color="auto"/>
            </w:tcBorders>
            <w:shd w:val="clear" w:color="auto" w:fill="auto"/>
          </w:tcPr>
          <w:p w14:paraId="60E56568" w14:textId="77777777" w:rsidR="00581AC9" w:rsidRPr="00244F12" w:rsidRDefault="00581AC9" w:rsidP="002B3476">
            <w:pPr>
              <w:spacing w:after="0"/>
              <w:jc w:val="center"/>
              <w:rPr>
                <w:rFonts w:eastAsia="Times New Roman"/>
                <w:sz w:val="16"/>
                <w:szCs w:val="16"/>
              </w:rPr>
            </w:pPr>
            <w:r w:rsidRPr="00244F12">
              <w:rPr>
                <w:rFonts w:eastAsia="Times New Roman"/>
                <w:sz w:val="16"/>
                <w:szCs w:val="16"/>
              </w:rPr>
              <w:t>None</w:t>
            </w:r>
          </w:p>
        </w:tc>
        <w:tc>
          <w:tcPr>
            <w:tcW w:w="1276" w:type="dxa"/>
            <w:tcBorders>
              <w:top w:val="single" w:sz="4" w:space="0" w:color="auto"/>
              <w:left w:val="nil"/>
              <w:bottom w:val="single" w:sz="4" w:space="0" w:color="auto"/>
              <w:right w:val="single" w:sz="4" w:space="0" w:color="auto"/>
            </w:tcBorders>
            <w:shd w:val="clear" w:color="auto" w:fill="auto"/>
          </w:tcPr>
          <w:p w14:paraId="5B704063" w14:textId="77777777" w:rsidR="00581AC9" w:rsidRPr="00244F12" w:rsidRDefault="00581AC9" w:rsidP="002B3476">
            <w:pPr>
              <w:spacing w:after="0"/>
              <w:jc w:val="center"/>
              <w:rPr>
                <w:rFonts w:eastAsia="Times New Roman"/>
                <w:b/>
                <w:bCs/>
                <w:sz w:val="16"/>
                <w:szCs w:val="16"/>
              </w:rPr>
            </w:pPr>
            <w:r w:rsidRPr="00244F12">
              <w:rPr>
                <w:rFonts w:eastAsia="Times New Roman"/>
                <w:sz w:val="16"/>
                <w:szCs w:val="16"/>
              </w:rPr>
              <w:t>UE specific</w:t>
            </w:r>
          </w:p>
        </w:tc>
        <w:tc>
          <w:tcPr>
            <w:tcW w:w="992" w:type="dxa"/>
            <w:tcBorders>
              <w:top w:val="single" w:sz="4" w:space="0" w:color="auto"/>
              <w:left w:val="nil"/>
              <w:bottom w:val="single" w:sz="4" w:space="0" w:color="auto"/>
              <w:right w:val="single" w:sz="4" w:space="0" w:color="auto"/>
            </w:tcBorders>
            <w:shd w:val="clear" w:color="auto" w:fill="auto"/>
          </w:tcPr>
          <w:p w14:paraId="7C630E99" w14:textId="77777777" w:rsidR="00581AC9" w:rsidRDefault="00581AC9" w:rsidP="002B3476">
            <w:pPr>
              <w:spacing w:after="0"/>
              <w:jc w:val="center"/>
              <w:rPr>
                <w:rFonts w:eastAsia="Times New Roman"/>
                <w:bCs/>
                <w:sz w:val="16"/>
                <w:szCs w:val="16"/>
              </w:rPr>
            </w:pPr>
            <w:r w:rsidRPr="00244F12">
              <w:rPr>
                <w:rFonts w:eastAsia="Times New Roman"/>
                <w:bCs/>
                <w:sz w:val="16"/>
                <w:szCs w:val="16"/>
              </w:rPr>
              <w:t>3</w:t>
            </w:r>
            <w:r>
              <w:rPr>
                <w:rFonts w:eastAsia="Times New Roman"/>
                <w:bCs/>
                <w:sz w:val="16"/>
                <w:szCs w:val="16"/>
              </w:rPr>
              <w:t>6</w:t>
            </w:r>
            <w:r w:rsidRPr="00244F12">
              <w:rPr>
                <w:rFonts w:eastAsia="Times New Roman"/>
                <w:bCs/>
                <w:sz w:val="16"/>
                <w:szCs w:val="16"/>
              </w:rPr>
              <w:t>.213</w:t>
            </w:r>
          </w:p>
          <w:p w14:paraId="7F33EE5A" w14:textId="77777777" w:rsidR="00581AC9" w:rsidRPr="00244F12" w:rsidRDefault="00581AC9" w:rsidP="002B3476">
            <w:pPr>
              <w:spacing w:after="0"/>
              <w:jc w:val="center"/>
              <w:rPr>
                <w:rFonts w:eastAsia="Times New Roman"/>
                <w:bCs/>
                <w:sz w:val="16"/>
                <w:szCs w:val="16"/>
              </w:rPr>
            </w:pPr>
            <w:r>
              <w:rPr>
                <w:rFonts w:eastAsia="Times New Roman"/>
                <w:bCs/>
                <w:sz w:val="16"/>
                <w:szCs w:val="16"/>
              </w:rPr>
              <w:t>38.213</w:t>
            </w:r>
          </w:p>
        </w:tc>
        <w:tc>
          <w:tcPr>
            <w:tcW w:w="5386" w:type="dxa"/>
            <w:tcBorders>
              <w:top w:val="single" w:sz="4" w:space="0" w:color="auto"/>
              <w:left w:val="nil"/>
              <w:bottom w:val="single" w:sz="4" w:space="0" w:color="auto"/>
              <w:right w:val="single" w:sz="4" w:space="0" w:color="auto"/>
            </w:tcBorders>
            <w:shd w:val="clear" w:color="auto" w:fill="auto"/>
          </w:tcPr>
          <w:p w14:paraId="064BECC2" w14:textId="77777777" w:rsidR="00581AC9" w:rsidRPr="00244F12" w:rsidRDefault="00581AC9" w:rsidP="002B3476">
            <w:pPr>
              <w:spacing w:after="0"/>
              <w:rPr>
                <w:bCs/>
                <w:sz w:val="16"/>
                <w:szCs w:val="16"/>
                <w:lang w:eastAsia="zh-CN"/>
              </w:rPr>
            </w:pPr>
            <w:r>
              <w:rPr>
                <w:bCs/>
                <w:sz w:val="16"/>
                <w:szCs w:val="16"/>
                <w:lang w:eastAsia="zh-CN"/>
              </w:rPr>
              <w:t>The TS36.331 conditions this field to FDD in R15. If same parameter is used, the condition needs to be removed or updated.</w:t>
            </w:r>
          </w:p>
        </w:tc>
      </w:tr>
      <w:tr w:rsidR="00581AC9" w:rsidRPr="00376593" w14:paraId="41538725" w14:textId="77777777" w:rsidTr="00581AC9">
        <w:trPr>
          <w:trHeight w:val="40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ED9064C" w14:textId="77777777" w:rsidR="00581AC9" w:rsidRPr="00244F12" w:rsidRDefault="00581AC9" w:rsidP="002B3476">
            <w:pPr>
              <w:spacing w:after="0"/>
              <w:jc w:val="center"/>
              <w:rPr>
                <w:sz w:val="16"/>
                <w:szCs w:val="16"/>
                <w:lang w:eastAsia="zh-CN"/>
              </w:rPr>
            </w:pPr>
            <w:r w:rsidRPr="00244F12">
              <w:rPr>
                <w:sz w:val="16"/>
                <w:szCs w:val="16"/>
                <w:lang w:eastAsia="zh-CN"/>
              </w:rPr>
              <w:t>New</w:t>
            </w:r>
          </w:p>
        </w:tc>
        <w:tc>
          <w:tcPr>
            <w:tcW w:w="1981" w:type="dxa"/>
            <w:tcBorders>
              <w:top w:val="single" w:sz="4" w:space="0" w:color="auto"/>
              <w:left w:val="nil"/>
              <w:bottom w:val="single" w:sz="4" w:space="0" w:color="auto"/>
              <w:right w:val="single" w:sz="4" w:space="0" w:color="auto"/>
            </w:tcBorders>
            <w:shd w:val="clear" w:color="auto" w:fill="auto"/>
            <w:noWrap/>
          </w:tcPr>
          <w:p w14:paraId="26D3635C" w14:textId="77777777" w:rsidR="00581AC9" w:rsidRPr="00244F12" w:rsidRDefault="00581AC9" w:rsidP="002B3476">
            <w:pPr>
              <w:spacing w:after="0"/>
              <w:jc w:val="center"/>
              <w:rPr>
                <w:i/>
                <w:color w:val="0D0D0D" w:themeColor="text1" w:themeTint="F2"/>
                <w:sz w:val="16"/>
                <w:szCs w:val="16"/>
              </w:rPr>
            </w:pPr>
            <w:proofErr w:type="spellStart"/>
            <w:r w:rsidRPr="00244F12">
              <w:rPr>
                <w:i/>
                <w:color w:val="0D0D0D" w:themeColor="text1" w:themeTint="F2"/>
                <w:sz w:val="16"/>
                <w:szCs w:val="16"/>
              </w:rPr>
              <w:t>tdm-PatternConfig</w:t>
            </w:r>
            <w:r>
              <w:rPr>
                <w:i/>
                <w:color w:val="0D0D0D" w:themeColor="text1" w:themeTint="F2"/>
                <w:sz w:val="16"/>
                <w:szCs w:val="16"/>
              </w:rPr>
              <w:t>-tdd</w:t>
            </w:r>
            <w:proofErr w:type="spellEnd"/>
          </w:p>
        </w:tc>
        <w:tc>
          <w:tcPr>
            <w:tcW w:w="3261" w:type="dxa"/>
            <w:gridSpan w:val="2"/>
            <w:tcBorders>
              <w:top w:val="single" w:sz="4" w:space="0" w:color="auto"/>
              <w:left w:val="nil"/>
              <w:bottom w:val="single" w:sz="4" w:space="0" w:color="auto"/>
              <w:right w:val="single" w:sz="4" w:space="0" w:color="auto"/>
            </w:tcBorders>
            <w:shd w:val="clear" w:color="auto" w:fill="auto"/>
          </w:tcPr>
          <w:p w14:paraId="16977A6B" w14:textId="77777777" w:rsidR="00581AC9" w:rsidRPr="00006EA4" w:rsidRDefault="00581AC9" w:rsidP="002B3476">
            <w:pPr>
              <w:spacing w:after="0"/>
              <w:jc w:val="center"/>
              <w:rPr>
                <w:sz w:val="16"/>
                <w:szCs w:val="16"/>
                <w:lang w:eastAsia="zh-CN"/>
              </w:rPr>
            </w:pPr>
            <w:r>
              <w:rPr>
                <w:color w:val="0D0D0D" w:themeColor="text1" w:themeTint="F2"/>
                <w:sz w:val="16"/>
                <w:szCs w:val="16"/>
              </w:rPr>
              <w:t xml:space="preserve">as in the R15 </w:t>
            </w:r>
            <w:proofErr w:type="spellStart"/>
            <w:r w:rsidRPr="00244F12">
              <w:rPr>
                <w:i/>
                <w:color w:val="0D0D0D" w:themeColor="text1" w:themeTint="F2"/>
                <w:sz w:val="16"/>
                <w:szCs w:val="16"/>
              </w:rPr>
              <w:t>tdm-PatternConfig</w:t>
            </w:r>
            <w:proofErr w:type="spellEnd"/>
            <w:r>
              <w:rPr>
                <w:i/>
                <w:color w:val="0D0D0D" w:themeColor="text1" w:themeTint="F2"/>
                <w:sz w:val="16"/>
                <w:szCs w:val="16"/>
              </w:rPr>
              <w:t xml:space="preserve"> </w:t>
            </w:r>
            <w:r>
              <w:rPr>
                <w:color w:val="0D0D0D" w:themeColor="text1" w:themeTint="F2"/>
                <w:sz w:val="16"/>
                <w:szCs w:val="16"/>
              </w:rPr>
              <w:t>unless something new is agreed in RAN1</w:t>
            </w:r>
          </w:p>
        </w:tc>
        <w:tc>
          <w:tcPr>
            <w:tcW w:w="992" w:type="dxa"/>
            <w:tcBorders>
              <w:top w:val="single" w:sz="4" w:space="0" w:color="auto"/>
              <w:left w:val="nil"/>
              <w:bottom w:val="single" w:sz="4" w:space="0" w:color="auto"/>
              <w:right w:val="single" w:sz="4" w:space="0" w:color="auto"/>
            </w:tcBorders>
            <w:shd w:val="clear" w:color="auto" w:fill="auto"/>
          </w:tcPr>
          <w:p w14:paraId="4C4024FA" w14:textId="77777777" w:rsidR="00581AC9" w:rsidRPr="00244F12" w:rsidRDefault="00581AC9" w:rsidP="002B3476">
            <w:pPr>
              <w:spacing w:after="0"/>
              <w:jc w:val="center"/>
              <w:rPr>
                <w:rFonts w:eastAsia="Times New Roman"/>
                <w:sz w:val="16"/>
                <w:szCs w:val="16"/>
              </w:rPr>
            </w:pPr>
            <w:r w:rsidRPr="00244F12">
              <w:rPr>
                <w:rFonts w:eastAsia="Times New Roman"/>
                <w:sz w:val="16"/>
                <w:szCs w:val="16"/>
              </w:rPr>
              <w:t>None</w:t>
            </w:r>
          </w:p>
        </w:tc>
        <w:tc>
          <w:tcPr>
            <w:tcW w:w="1276" w:type="dxa"/>
            <w:tcBorders>
              <w:top w:val="single" w:sz="4" w:space="0" w:color="auto"/>
              <w:left w:val="nil"/>
              <w:bottom w:val="single" w:sz="4" w:space="0" w:color="auto"/>
              <w:right w:val="single" w:sz="4" w:space="0" w:color="auto"/>
            </w:tcBorders>
            <w:shd w:val="clear" w:color="auto" w:fill="auto"/>
          </w:tcPr>
          <w:p w14:paraId="53D756F2" w14:textId="77777777" w:rsidR="00581AC9" w:rsidRPr="00244F12" w:rsidRDefault="00581AC9" w:rsidP="002B3476">
            <w:pPr>
              <w:spacing w:after="0"/>
              <w:jc w:val="center"/>
              <w:rPr>
                <w:rFonts w:eastAsia="Times New Roman"/>
                <w:sz w:val="16"/>
                <w:szCs w:val="16"/>
              </w:rPr>
            </w:pPr>
            <w:r w:rsidRPr="00244F12">
              <w:rPr>
                <w:rFonts w:eastAsia="Times New Roman"/>
                <w:sz w:val="16"/>
                <w:szCs w:val="16"/>
              </w:rPr>
              <w:t>UE specific</w:t>
            </w:r>
          </w:p>
        </w:tc>
        <w:tc>
          <w:tcPr>
            <w:tcW w:w="992" w:type="dxa"/>
            <w:tcBorders>
              <w:top w:val="single" w:sz="4" w:space="0" w:color="auto"/>
              <w:left w:val="nil"/>
              <w:bottom w:val="single" w:sz="4" w:space="0" w:color="auto"/>
              <w:right w:val="single" w:sz="4" w:space="0" w:color="auto"/>
            </w:tcBorders>
            <w:shd w:val="clear" w:color="auto" w:fill="auto"/>
          </w:tcPr>
          <w:p w14:paraId="072F70BD" w14:textId="77777777" w:rsidR="00581AC9" w:rsidRDefault="00581AC9" w:rsidP="002B3476">
            <w:pPr>
              <w:spacing w:after="0"/>
              <w:jc w:val="center"/>
              <w:rPr>
                <w:rFonts w:eastAsia="Times New Roman"/>
                <w:bCs/>
                <w:sz w:val="16"/>
                <w:szCs w:val="16"/>
              </w:rPr>
            </w:pPr>
            <w:r w:rsidRPr="00244F12">
              <w:rPr>
                <w:rFonts w:eastAsia="Times New Roman"/>
                <w:bCs/>
                <w:sz w:val="16"/>
                <w:szCs w:val="16"/>
              </w:rPr>
              <w:t>3</w:t>
            </w:r>
            <w:r>
              <w:rPr>
                <w:rFonts w:eastAsia="Times New Roman"/>
                <w:bCs/>
                <w:sz w:val="16"/>
                <w:szCs w:val="16"/>
              </w:rPr>
              <w:t>6</w:t>
            </w:r>
            <w:r w:rsidRPr="00244F12">
              <w:rPr>
                <w:rFonts w:eastAsia="Times New Roman"/>
                <w:bCs/>
                <w:sz w:val="16"/>
                <w:szCs w:val="16"/>
              </w:rPr>
              <w:t>.213</w:t>
            </w:r>
          </w:p>
          <w:p w14:paraId="4204A893" w14:textId="77777777" w:rsidR="00581AC9" w:rsidRPr="00244F12" w:rsidRDefault="00581AC9" w:rsidP="002B3476">
            <w:pPr>
              <w:spacing w:after="0"/>
              <w:jc w:val="center"/>
              <w:rPr>
                <w:rFonts w:eastAsia="Times New Roman"/>
                <w:bCs/>
                <w:sz w:val="16"/>
                <w:szCs w:val="16"/>
              </w:rPr>
            </w:pPr>
            <w:r>
              <w:rPr>
                <w:rFonts w:eastAsia="Times New Roman"/>
                <w:bCs/>
                <w:sz w:val="16"/>
                <w:szCs w:val="16"/>
              </w:rPr>
              <w:t>38.213</w:t>
            </w:r>
          </w:p>
        </w:tc>
        <w:tc>
          <w:tcPr>
            <w:tcW w:w="5386" w:type="dxa"/>
            <w:tcBorders>
              <w:top w:val="single" w:sz="4" w:space="0" w:color="auto"/>
              <w:left w:val="nil"/>
              <w:bottom w:val="single" w:sz="4" w:space="0" w:color="auto"/>
              <w:right w:val="single" w:sz="4" w:space="0" w:color="auto"/>
            </w:tcBorders>
            <w:shd w:val="clear" w:color="auto" w:fill="auto"/>
          </w:tcPr>
          <w:p w14:paraId="47C3E5CB" w14:textId="77777777" w:rsidR="00581AC9" w:rsidRDefault="00581AC9" w:rsidP="002B3476">
            <w:pPr>
              <w:spacing w:after="0"/>
              <w:rPr>
                <w:bCs/>
                <w:sz w:val="16"/>
                <w:szCs w:val="16"/>
                <w:lang w:eastAsia="zh-CN"/>
              </w:rPr>
            </w:pPr>
            <w:r>
              <w:rPr>
                <w:bCs/>
                <w:sz w:val="16"/>
                <w:szCs w:val="16"/>
                <w:lang w:eastAsia="zh-CN"/>
              </w:rPr>
              <w:t xml:space="preserve">New parameter, if the existing configuration parameter is kept to refer to FDD </w:t>
            </w:r>
            <w:proofErr w:type="spellStart"/>
            <w:r>
              <w:rPr>
                <w:bCs/>
                <w:sz w:val="16"/>
                <w:szCs w:val="16"/>
                <w:lang w:eastAsia="zh-CN"/>
              </w:rPr>
              <w:t>PCell</w:t>
            </w:r>
            <w:proofErr w:type="spellEnd"/>
            <w:r>
              <w:rPr>
                <w:bCs/>
                <w:sz w:val="16"/>
                <w:szCs w:val="16"/>
                <w:lang w:eastAsia="zh-CN"/>
              </w:rPr>
              <w:t xml:space="preserve"> only, or if there is some other (not yet identified) reason why the configurability needs to be </w:t>
            </w:r>
            <w:proofErr w:type="gramStart"/>
            <w:r>
              <w:rPr>
                <w:bCs/>
                <w:sz w:val="16"/>
                <w:szCs w:val="16"/>
                <w:lang w:eastAsia="zh-CN"/>
              </w:rPr>
              <w:t>extended..</w:t>
            </w:r>
            <w:proofErr w:type="gramEnd"/>
          </w:p>
        </w:tc>
      </w:tr>
    </w:tbl>
    <w:p w14:paraId="3C746D95" w14:textId="77777777" w:rsidR="00581AC9" w:rsidRDefault="00581AC9" w:rsidP="00581AC9"/>
    <w:p w14:paraId="599CD07C" w14:textId="77777777" w:rsidR="00581AC9" w:rsidRDefault="005446B1" w:rsidP="00581AC9">
      <w:hyperlink r:id="rId14" w:history="1">
        <w:r w:rsidR="00581AC9" w:rsidRPr="00244F12">
          <w:rPr>
            <w:rStyle w:val="Hyperlink"/>
          </w:rPr>
          <w:t>R1-1909880</w:t>
        </w:r>
      </w:hyperlink>
      <w:r w:rsidR="00581AC9">
        <w:t xml:space="preserve"> </w:t>
      </w:r>
      <w:r w:rsidR="00581AC9" w:rsidRPr="00244F12">
        <w:t xml:space="preserve">LS </w:t>
      </w:r>
      <w:r w:rsidR="00581AC9">
        <w:t xml:space="preserve">[to RAN2] </w:t>
      </w:r>
      <w:r w:rsidR="00581AC9" w:rsidRPr="00244F12">
        <w:t xml:space="preserve">on DL HARQ timing for FDD </w:t>
      </w:r>
      <w:proofErr w:type="spellStart"/>
      <w:r w:rsidR="00581AC9" w:rsidRPr="00244F12">
        <w:t>Scell</w:t>
      </w:r>
      <w:proofErr w:type="spellEnd"/>
      <w:r w:rsidR="00581AC9" w:rsidRPr="00244F12">
        <w:t xml:space="preserve"> for LTE TDD-FDD CA with TDD </w:t>
      </w:r>
      <w:proofErr w:type="spellStart"/>
      <w:r w:rsidR="00581AC9" w:rsidRPr="00244F12">
        <w:t>Pcell</w:t>
      </w:r>
      <w:proofErr w:type="spellEnd"/>
      <w:r w:rsidR="00581AC9" w:rsidRPr="00244F12">
        <w:t xml:space="preserve">, applied to FDD </w:t>
      </w:r>
      <w:proofErr w:type="spellStart"/>
      <w:r w:rsidR="00581AC9" w:rsidRPr="00244F12">
        <w:t>Pcell</w:t>
      </w:r>
      <w:proofErr w:type="spellEnd"/>
      <w:r w:rsidR="00581AC9" w:rsidRPr="00244F12">
        <w:t>, for Dual Uplink EN-DC</w:t>
      </w:r>
    </w:p>
    <w:p w14:paraId="6FF6F957" w14:textId="77777777" w:rsidR="00581AC9" w:rsidRDefault="00581AC9" w:rsidP="00581AC9">
      <w:r>
        <w:lastRenderedPageBreak/>
        <w:t xml:space="preserve">Two signalling options were identified for introducing the feature configuration to the LTE RRC 36.331, either use the same parameter with R15 </w:t>
      </w:r>
      <w:proofErr w:type="spellStart"/>
      <w:r>
        <w:t>functionalty</w:t>
      </w:r>
      <w:proofErr w:type="spellEnd"/>
      <w:r>
        <w:t>, or introduce a new parameter:</w:t>
      </w:r>
    </w:p>
    <w:tbl>
      <w:tblPr>
        <w:tblW w:w="14739" w:type="dxa"/>
        <w:tblInd w:w="-5" w:type="dxa"/>
        <w:tblLayout w:type="fixed"/>
        <w:tblLook w:val="04A0" w:firstRow="1" w:lastRow="0" w:firstColumn="1" w:lastColumn="0" w:noHBand="0" w:noVBand="1"/>
      </w:tblPr>
      <w:tblGrid>
        <w:gridCol w:w="851"/>
        <w:gridCol w:w="1981"/>
        <w:gridCol w:w="1701"/>
        <w:gridCol w:w="1560"/>
        <w:gridCol w:w="992"/>
        <w:gridCol w:w="1276"/>
        <w:gridCol w:w="992"/>
        <w:gridCol w:w="5386"/>
      </w:tblGrid>
      <w:tr w:rsidR="00581AC9" w:rsidRPr="00376593" w14:paraId="322EF2E9" w14:textId="77777777" w:rsidTr="00581AC9">
        <w:trPr>
          <w:trHeight w:val="400"/>
        </w:trPr>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757CE361"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New or existing</w:t>
            </w:r>
          </w:p>
        </w:tc>
        <w:tc>
          <w:tcPr>
            <w:tcW w:w="1981"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14:paraId="532C065C"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Parameter name in specification</w:t>
            </w:r>
          </w:p>
        </w:tc>
        <w:tc>
          <w:tcPr>
            <w:tcW w:w="1701"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5AFCD6A8"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Description</w:t>
            </w:r>
          </w:p>
        </w:tc>
        <w:tc>
          <w:tcPr>
            <w:tcW w:w="1560" w:type="dxa"/>
            <w:tcBorders>
              <w:top w:val="single" w:sz="4" w:space="0" w:color="auto"/>
              <w:left w:val="nil"/>
              <w:bottom w:val="single" w:sz="4" w:space="0" w:color="auto"/>
              <w:right w:val="single" w:sz="4" w:space="0" w:color="auto"/>
            </w:tcBorders>
            <w:shd w:val="clear" w:color="auto" w:fill="DEEAF6" w:themeFill="accent1" w:themeFillTint="33"/>
            <w:noWrap/>
            <w:vAlign w:val="center"/>
          </w:tcPr>
          <w:p w14:paraId="30C3BFB4"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Value range</w:t>
            </w:r>
          </w:p>
        </w:tc>
        <w:tc>
          <w:tcPr>
            <w:tcW w:w="992"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609E199B"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Default value</w:t>
            </w:r>
          </w:p>
        </w:tc>
        <w:tc>
          <w:tcPr>
            <w:tcW w:w="1276"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2C493882"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UE specific/Cell specific</w:t>
            </w:r>
          </w:p>
        </w:tc>
        <w:tc>
          <w:tcPr>
            <w:tcW w:w="992"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1009ADF8" w14:textId="77777777" w:rsidR="00581AC9" w:rsidRPr="006A6944" w:rsidRDefault="00581AC9" w:rsidP="002B3476">
            <w:pPr>
              <w:spacing w:after="0"/>
              <w:jc w:val="center"/>
              <w:rPr>
                <w:rFonts w:eastAsia="Times New Roman"/>
                <w:b/>
                <w:bCs/>
                <w:sz w:val="16"/>
                <w:szCs w:val="16"/>
              </w:rPr>
            </w:pPr>
            <w:r>
              <w:rPr>
                <w:rFonts w:eastAsia="Times New Roman"/>
                <w:b/>
                <w:bCs/>
                <w:sz w:val="16"/>
                <w:szCs w:val="16"/>
              </w:rPr>
              <w:t>RAN1 spec</w:t>
            </w:r>
          </w:p>
        </w:tc>
        <w:tc>
          <w:tcPr>
            <w:tcW w:w="5386"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5E63B54B" w14:textId="77777777" w:rsidR="00581AC9" w:rsidRPr="006A6944" w:rsidRDefault="00581AC9" w:rsidP="002B3476">
            <w:pPr>
              <w:spacing w:after="0"/>
              <w:jc w:val="center"/>
              <w:rPr>
                <w:rFonts w:eastAsia="Times New Roman"/>
                <w:b/>
                <w:bCs/>
                <w:sz w:val="16"/>
                <w:szCs w:val="16"/>
              </w:rPr>
            </w:pPr>
            <w:r w:rsidRPr="006A6944">
              <w:rPr>
                <w:rFonts w:eastAsia="Times New Roman"/>
                <w:b/>
                <w:bCs/>
                <w:sz w:val="16"/>
                <w:szCs w:val="16"/>
              </w:rPr>
              <w:t>Comment</w:t>
            </w:r>
          </w:p>
        </w:tc>
      </w:tr>
      <w:tr w:rsidR="00581AC9" w:rsidRPr="00376593" w14:paraId="526343A8" w14:textId="77777777" w:rsidTr="00581AC9">
        <w:trPr>
          <w:trHeight w:val="40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E29A75D" w14:textId="0A6D3174" w:rsidR="00581AC9" w:rsidRPr="00244F12" w:rsidRDefault="00581AC9" w:rsidP="00581AC9">
            <w:pPr>
              <w:spacing w:after="0"/>
              <w:jc w:val="center"/>
              <w:rPr>
                <w:sz w:val="16"/>
                <w:szCs w:val="16"/>
                <w:lang w:eastAsia="zh-CN"/>
              </w:rPr>
            </w:pPr>
            <w:r>
              <w:rPr>
                <w:sz w:val="16"/>
                <w:szCs w:val="16"/>
                <w:lang w:eastAsia="zh-CN"/>
              </w:rPr>
              <w:t>Old</w:t>
            </w:r>
          </w:p>
        </w:tc>
        <w:tc>
          <w:tcPr>
            <w:tcW w:w="1981" w:type="dxa"/>
            <w:tcBorders>
              <w:top w:val="single" w:sz="4" w:space="0" w:color="auto"/>
              <w:left w:val="nil"/>
              <w:bottom w:val="single" w:sz="4" w:space="0" w:color="auto"/>
              <w:right w:val="single" w:sz="4" w:space="0" w:color="auto"/>
            </w:tcBorders>
            <w:shd w:val="clear" w:color="auto" w:fill="auto"/>
            <w:noWrap/>
          </w:tcPr>
          <w:p w14:paraId="2F068902" w14:textId="1A0EE863" w:rsidR="00581AC9" w:rsidRPr="00244F12" w:rsidRDefault="00581AC9" w:rsidP="00581AC9">
            <w:pPr>
              <w:spacing w:after="0"/>
              <w:jc w:val="center"/>
              <w:rPr>
                <w:rStyle w:val="fontstyle01"/>
                <w:rFonts w:hint="eastAsia"/>
                <w:i/>
                <w:sz w:val="16"/>
                <w:szCs w:val="16"/>
                <w:lang w:eastAsia="zh-CN"/>
              </w:rPr>
            </w:pPr>
            <w:proofErr w:type="spellStart"/>
            <w:r w:rsidRPr="00244F12">
              <w:rPr>
                <w:i/>
                <w:color w:val="0D0D0D" w:themeColor="text1" w:themeTint="F2"/>
                <w:sz w:val="16"/>
                <w:szCs w:val="16"/>
              </w:rPr>
              <w:t>tdm-PatternConfig</w:t>
            </w:r>
            <w:proofErr w:type="spellEnd"/>
          </w:p>
        </w:tc>
        <w:tc>
          <w:tcPr>
            <w:tcW w:w="3261" w:type="dxa"/>
            <w:gridSpan w:val="2"/>
            <w:tcBorders>
              <w:top w:val="single" w:sz="4" w:space="0" w:color="auto"/>
              <w:left w:val="nil"/>
              <w:bottom w:val="single" w:sz="4" w:space="0" w:color="auto"/>
              <w:right w:val="single" w:sz="4" w:space="0" w:color="auto"/>
            </w:tcBorders>
            <w:shd w:val="clear" w:color="auto" w:fill="auto"/>
          </w:tcPr>
          <w:p w14:paraId="28C2CC9F" w14:textId="48F5EF1D" w:rsidR="00581AC9" w:rsidRPr="00244F12" w:rsidRDefault="00581AC9" w:rsidP="00581AC9">
            <w:pPr>
              <w:spacing w:after="0"/>
              <w:jc w:val="center"/>
              <w:rPr>
                <w:rFonts w:eastAsia="Times New Roman"/>
                <w:sz w:val="16"/>
                <w:szCs w:val="16"/>
              </w:rPr>
            </w:pPr>
            <w:r>
              <w:rPr>
                <w:sz w:val="16"/>
                <w:szCs w:val="16"/>
                <w:lang w:eastAsia="zh-CN"/>
              </w:rPr>
              <w:t>No change to the existing</w:t>
            </w:r>
            <w:r w:rsidRPr="00244F12">
              <w:rPr>
                <w:sz w:val="16"/>
                <w:szCs w:val="16"/>
                <w:lang w:eastAsia="zh-CN"/>
              </w:rPr>
              <w:t xml:space="preserve"> </w:t>
            </w:r>
            <w:proofErr w:type="spellStart"/>
            <w:r w:rsidRPr="00244F12">
              <w:rPr>
                <w:i/>
                <w:color w:val="0D0D0D" w:themeColor="text1" w:themeTint="F2"/>
                <w:sz w:val="16"/>
                <w:szCs w:val="16"/>
              </w:rPr>
              <w:t>tdm-PatternConfig</w:t>
            </w:r>
            <w:proofErr w:type="spellEnd"/>
          </w:p>
        </w:tc>
        <w:tc>
          <w:tcPr>
            <w:tcW w:w="992" w:type="dxa"/>
            <w:tcBorders>
              <w:top w:val="single" w:sz="4" w:space="0" w:color="auto"/>
              <w:left w:val="nil"/>
              <w:bottom w:val="single" w:sz="4" w:space="0" w:color="auto"/>
              <w:right w:val="single" w:sz="4" w:space="0" w:color="auto"/>
            </w:tcBorders>
            <w:shd w:val="clear" w:color="auto" w:fill="auto"/>
          </w:tcPr>
          <w:p w14:paraId="5430C0C2" w14:textId="1DE2FA83" w:rsidR="00581AC9" w:rsidRPr="00244F12" w:rsidRDefault="00581AC9" w:rsidP="00581AC9">
            <w:pPr>
              <w:spacing w:after="0"/>
              <w:jc w:val="center"/>
              <w:rPr>
                <w:rFonts w:eastAsia="Times New Roman"/>
                <w:sz w:val="16"/>
                <w:szCs w:val="16"/>
              </w:rPr>
            </w:pPr>
            <w:r w:rsidRPr="00244F12">
              <w:rPr>
                <w:rFonts w:eastAsia="Times New Roman"/>
                <w:sz w:val="16"/>
                <w:szCs w:val="16"/>
              </w:rPr>
              <w:t>None</w:t>
            </w:r>
          </w:p>
        </w:tc>
        <w:tc>
          <w:tcPr>
            <w:tcW w:w="1276" w:type="dxa"/>
            <w:tcBorders>
              <w:top w:val="single" w:sz="4" w:space="0" w:color="auto"/>
              <w:left w:val="nil"/>
              <w:bottom w:val="single" w:sz="4" w:space="0" w:color="auto"/>
              <w:right w:val="single" w:sz="4" w:space="0" w:color="auto"/>
            </w:tcBorders>
            <w:shd w:val="clear" w:color="auto" w:fill="auto"/>
          </w:tcPr>
          <w:p w14:paraId="6D5FB9E0" w14:textId="27B1384D" w:rsidR="00581AC9" w:rsidRPr="00244F12" w:rsidRDefault="00581AC9" w:rsidP="00581AC9">
            <w:pPr>
              <w:spacing w:after="0"/>
              <w:jc w:val="center"/>
              <w:rPr>
                <w:rFonts w:eastAsia="Times New Roman"/>
                <w:b/>
                <w:bCs/>
                <w:sz w:val="16"/>
                <w:szCs w:val="16"/>
              </w:rPr>
            </w:pPr>
            <w:r w:rsidRPr="00244F12">
              <w:rPr>
                <w:rFonts w:eastAsia="Times New Roman"/>
                <w:sz w:val="16"/>
                <w:szCs w:val="16"/>
              </w:rPr>
              <w:t>UE specific</w:t>
            </w:r>
          </w:p>
        </w:tc>
        <w:tc>
          <w:tcPr>
            <w:tcW w:w="992" w:type="dxa"/>
            <w:tcBorders>
              <w:top w:val="single" w:sz="4" w:space="0" w:color="auto"/>
              <w:left w:val="nil"/>
              <w:bottom w:val="single" w:sz="4" w:space="0" w:color="auto"/>
              <w:right w:val="single" w:sz="4" w:space="0" w:color="auto"/>
            </w:tcBorders>
            <w:shd w:val="clear" w:color="auto" w:fill="auto"/>
          </w:tcPr>
          <w:p w14:paraId="54C9AB1A" w14:textId="77777777" w:rsidR="00581AC9" w:rsidRDefault="00581AC9" w:rsidP="00581AC9">
            <w:pPr>
              <w:spacing w:after="0"/>
              <w:jc w:val="center"/>
              <w:rPr>
                <w:rFonts w:eastAsia="Times New Roman"/>
                <w:bCs/>
                <w:sz w:val="16"/>
                <w:szCs w:val="16"/>
              </w:rPr>
            </w:pPr>
            <w:r w:rsidRPr="00244F12">
              <w:rPr>
                <w:rFonts w:eastAsia="Times New Roman"/>
                <w:bCs/>
                <w:sz w:val="16"/>
                <w:szCs w:val="16"/>
              </w:rPr>
              <w:t>3</w:t>
            </w:r>
            <w:r>
              <w:rPr>
                <w:rFonts w:eastAsia="Times New Roman"/>
                <w:bCs/>
                <w:sz w:val="16"/>
                <w:szCs w:val="16"/>
              </w:rPr>
              <w:t>6</w:t>
            </w:r>
            <w:r w:rsidRPr="00244F12">
              <w:rPr>
                <w:rFonts w:eastAsia="Times New Roman"/>
                <w:bCs/>
                <w:sz w:val="16"/>
                <w:szCs w:val="16"/>
              </w:rPr>
              <w:t>.213</w:t>
            </w:r>
          </w:p>
          <w:p w14:paraId="756283C1" w14:textId="57B5E913" w:rsidR="00581AC9" w:rsidRPr="00244F12" w:rsidRDefault="00581AC9" w:rsidP="00581AC9">
            <w:pPr>
              <w:spacing w:after="0"/>
              <w:jc w:val="center"/>
              <w:rPr>
                <w:rFonts w:eastAsia="Times New Roman"/>
                <w:bCs/>
                <w:sz w:val="16"/>
                <w:szCs w:val="16"/>
              </w:rPr>
            </w:pPr>
            <w:r>
              <w:rPr>
                <w:rFonts w:eastAsia="Times New Roman"/>
                <w:bCs/>
                <w:sz w:val="16"/>
                <w:szCs w:val="16"/>
              </w:rPr>
              <w:t>38.213</w:t>
            </w:r>
          </w:p>
        </w:tc>
        <w:tc>
          <w:tcPr>
            <w:tcW w:w="5386" w:type="dxa"/>
            <w:tcBorders>
              <w:top w:val="single" w:sz="4" w:space="0" w:color="auto"/>
              <w:left w:val="nil"/>
              <w:bottom w:val="single" w:sz="4" w:space="0" w:color="auto"/>
              <w:right w:val="single" w:sz="4" w:space="0" w:color="auto"/>
            </w:tcBorders>
            <w:shd w:val="clear" w:color="auto" w:fill="auto"/>
          </w:tcPr>
          <w:p w14:paraId="5F6575C1" w14:textId="78BB5591" w:rsidR="00581AC9" w:rsidRPr="00244F12" w:rsidRDefault="00581AC9" w:rsidP="00581AC9">
            <w:pPr>
              <w:spacing w:after="0"/>
              <w:rPr>
                <w:bCs/>
                <w:sz w:val="16"/>
                <w:szCs w:val="16"/>
                <w:lang w:eastAsia="zh-CN"/>
              </w:rPr>
            </w:pPr>
            <w:r>
              <w:rPr>
                <w:bCs/>
                <w:sz w:val="16"/>
                <w:szCs w:val="16"/>
                <w:lang w:eastAsia="zh-CN"/>
              </w:rPr>
              <w:t xml:space="preserve">The field description in TS36.331 of the R15 parameter would need to be updated if extending the Rel-15 </w:t>
            </w:r>
            <w:proofErr w:type="spellStart"/>
            <w:r>
              <w:rPr>
                <w:bCs/>
                <w:sz w:val="16"/>
                <w:szCs w:val="16"/>
                <w:lang w:eastAsia="zh-CN"/>
              </w:rPr>
              <w:t>signallig</w:t>
            </w:r>
            <w:proofErr w:type="spellEnd"/>
            <w:r>
              <w:rPr>
                <w:bCs/>
                <w:sz w:val="16"/>
                <w:szCs w:val="16"/>
                <w:lang w:eastAsia="zh-CN"/>
              </w:rPr>
              <w:t xml:space="preserve"> option is selected</w:t>
            </w:r>
          </w:p>
        </w:tc>
      </w:tr>
      <w:tr w:rsidR="00581AC9" w:rsidRPr="00376593" w14:paraId="486DB4E6" w14:textId="77777777" w:rsidTr="00581AC9">
        <w:trPr>
          <w:trHeight w:val="400"/>
        </w:trPr>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5275601" w14:textId="45CE8972" w:rsidR="00581AC9" w:rsidRPr="00244F12" w:rsidRDefault="00581AC9" w:rsidP="00581AC9">
            <w:pPr>
              <w:spacing w:after="0"/>
              <w:jc w:val="center"/>
              <w:rPr>
                <w:sz w:val="16"/>
                <w:szCs w:val="16"/>
                <w:lang w:eastAsia="zh-CN"/>
              </w:rPr>
            </w:pPr>
            <w:r w:rsidRPr="00244F12">
              <w:rPr>
                <w:sz w:val="16"/>
                <w:szCs w:val="16"/>
                <w:lang w:eastAsia="zh-CN"/>
              </w:rPr>
              <w:t>New</w:t>
            </w:r>
          </w:p>
        </w:tc>
        <w:tc>
          <w:tcPr>
            <w:tcW w:w="1981" w:type="dxa"/>
            <w:tcBorders>
              <w:top w:val="single" w:sz="4" w:space="0" w:color="auto"/>
              <w:left w:val="nil"/>
              <w:bottom w:val="single" w:sz="4" w:space="0" w:color="auto"/>
              <w:right w:val="single" w:sz="4" w:space="0" w:color="auto"/>
            </w:tcBorders>
            <w:shd w:val="clear" w:color="auto" w:fill="auto"/>
            <w:noWrap/>
          </w:tcPr>
          <w:p w14:paraId="111B3344" w14:textId="1F7BB84D" w:rsidR="00581AC9" w:rsidRPr="00244F12" w:rsidRDefault="00581AC9" w:rsidP="00581AC9">
            <w:pPr>
              <w:spacing w:after="0"/>
              <w:jc w:val="center"/>
              <w:rPr>
                <w:i/>
                <w:color w:val="0D0D0D" w:themeColor="text1" w:themeTint="F2"/>
                <w:sz w:val="16"/>
                <w:szCs w:val="16"/>
              </w:rPr>
            </w:pPr>
            <w:r w:rsidRPr="00244F12">
              <w:rPr>
                <w:i/>
                <w:color w:val="0D0D0D" w:themeColor="text1" w:themeTint="F2"/>
                <w:sz w:val="16"/>
                <w:szCs w:val="16"/>
              </w:rPr>
              <w:t>tdm-PatternConfig2</w:t>
            </w:r>
          </w:p>
        </w:tc>
        <w:tc>
          <w:tcPr>
            <w:tcW w:w="3261" w:type="dxa"/>
            <w:gridSpan w:val="2"/>
            <w:tcBorders>
              <w:top w:val="single" w:sz="4" w:space="0" w:color="auto"/>
              <w:left w:val="nil"/>
              <w:bottom w:val="single" w:sz="4" w:space="0" w:color="auto"/>
              <w:right w:val="single" w:sz="4" w:space="0" w:color="auto"/>
            </w:tcBorders>
            <w:shd w:val="clear" w:color="auto" w:fill="auto"/>
          </w:tcPr>
          <w:p w14:paraId="5B8A7571" w14:textId="685A2C4D" w:rsidR="00581AC9" w:rsidRPr="00006EA4" w:rsidRDefault="00581AC9" w:rsidP="00581AC9">
            <w:pPr>
              <w:spacing w:after="0"/>
              <w:jc w:val="center"/>
              <w:rPr>
                <w:sz w:val="16"/>
                <w:szCs w:val="16"/>
                <w:lang w:eastAsia="zh-CN"/>
              </w:rPr>
            </w:pPr>
            <w:r w:rsidRPr="00244F12">
              <w:rPr>
                <w:sz w:val="16"/>
                <w:szCs w:val="16"/>
                <w:lang w:eastAsia="zh-CN"/>
              </w:rPr>
              <w:t xml:space="preserve">Same definition as for the Rel-15 </w:t>
            </w:r>
            <w:proofErr w:type="spellStart"/>
            <w:r w:rsidRPr="00244F12">
              <w:rPr>
                <w:i/>
                <w:color w:val="0D0D0D" w:themeColor="text1" w:themeTint="F2"/>
                <w:sz w:val="16"/>
                <w:szCs w:val="16"/>
              </w:rPr>
              <w:t>tdm-PatternConfig</w:t>
            </w:r>
            <w:proofErr w:type="spellEnd"/>
          </w:p>
        </w:tc>
        <w:tc>
          <w:tcPr>
            <w:tcW w:w="992" w:type="dxa"/>
            <w:tcBorders>
              <w:top w:val="single" w:sz="4" w:space="0" w:color="auto"/>
              <w:left w:val="nil"/>
              <w:bottom w:val="single" w:sz="4" w:space="0" w:color="auto"/>
              <w:right w:val="single" w:sz="4" w:space="0" w:color="auto"/>
            </w:tcBorders>
            <w:shd w:val="clear" w:color="auto" w:fill="auto"/>
          </w:tcPr>
          <w:p w14:paraId="69C863AA" w14:textId="66626701" w:rsidR="00581AC9" w:rsidRPr="00244F12" w:rsidRDefault="00581AC9" w:rsidP="00581AC9">
            <w:pPr>
              <w:spacing w:after="0"/>
              <w:jc w:val="center"/>
              <w:rPr>
                <w:rFonts w:eastAsia="Times New Roman"/>
                <w:sz w:val="16"/>
                <w:szCs w:val="16"/>
              </w:rPr>
            </w:pPr>
            <w:r w:rsidRPr="00244F12">
              <w:rPr>
                <w:rFonts w:eastAsia="Times New Roman"/>
                <w:sz w:val="16"/>
                <w:szCs w:val="16"/>
              </w:rPr>
              <w:t>None</w:t>
            </w:r>
          </w:p>
        </w:tc>
        <w:tc>
          <w:tcPr>
            <w:tcW w:w="1276" w:type="dxa"/>
            <w:tcBorders>
              <w:top w:val="single" w:sz="4" w:space="0" w:color="auto"/>
              <w:left w:val="nil"/>
              <w:bottom w:val="single" w:sz="4" w:space="0" w:color="auto"/>
              <w:right w:val="single" w:sz="4" w:space="0" w:color="auto"/>
            </w:tcBorders>
            <w:shd w:val="clear" w:color="auto" w:fill="auto"/>
          </w:tcPr>
          <w:p w14:paraId="47A45503" w14:textId="681673D1" w:rsidR="00581AC9" w:rsidRPr="00244F12" w:rsidRDefault="00581AC9" w:rsidP="00581AC9">
            <w:pPr>
              <w:spacing w:after="0"/>
              <w:jc w:val="center"/>
              <w:rPr>
                <w:rFonts w:eastAsia="Times New Roman"/>
                <w:sz w:val="16"/>
                <w:szCs w:val="16"/>
              </w:rPr>
            </w:pPr>
            <w:r w:rsidRPr="00244F12">
              <w:rPr>
                <w:rFonts w:eastAsia="Times New Roman"/>
                <w:sz w:val="16"/>
                <w:szCs w:val="16"/>
              </w:rPr>
              <w:t>UE specific</w:t>
            </w:r>
          </w:p>
        </w:tc>
        <w:tc>
          <w:tcPr>
            <w:tcW w:w="992" w:type="dxa"/>
            <w:tcBorders>
              <w:top w:val="single" w:sz="4" w:space="0" w:color="auto"/>
              <w:left w:val="nil"/>
              <w:bottom w:val="single" w:sz="4" w:space="0" w:color="auto"/>
              <w:right w:val="single" w:sz="4" w:space="0" w:color="auto"/>
            </w:tcBorders>
            <w:shd w:val="clear" w:color="auto" w:fill="auto"/>
          </w:tcPr>
          <w:p w14:paraId="40660CB1" w14:textId="77777777" w:rsidR="00581AC9" w:rsidRDefault="00581AC9" w:rsidP="00581AC9">
            <w:pPr>
              <w:spacing w:after="0"/>
              <w:jc w:val="center"/>
              <w:rPr>
                <w:rFonts w:eastAsia="Times New Roman"/>
                <w:bCs/>
                <w:sz w:val="16"/>
                <w:szCs w:val="16"/>
              </w:rPr>
            </w:pPr>
            <w:r w:rsidRPr="00244F12">
              <w:rPr>
                <w:rFonts w:eastAsia="Times New Roman"/>
                <w:bCs/>
                <w:sz w:val="16"/>
                <w:szCs w:val="16"/>
              </w:rPr>
              <w:t>3</w:t>
            </w:r>
            <w:r>
              <w:rPr>
                <w:rFonts w:eastAsia="Times New Roman"/>
                <w:bCs/>
                <w:sz w:val="16"/>
                <w:szCs w:val="16"/>
              </w:rPr>
              <w:t>6</w:t>
            </w:r>
            <w:r w:rsidRPr="00244F12">
              <w:rPr>
                <w:rFonts w:eastAsia="Times New Roman"/>
                <w:bCs/>
                <w:sz w:val="16"/>
                <w:szCs w:val="16"/>
              </w:rPr>
              <w:t>.213</w:t>
            </w:r>
          </w:p>
          <w:p w14:paraId="664892CE" w14:textId="2601AE21" w:rsidR="00581AC9" w:rsidRPr="00244F12" w:rsidRDefault="00581AC9" w:rsidP="00581AC9">
            <w:pPr>
              <w:spacing w:after="0"/>
              <w:jc w:val="center"/>
              <w:rPr>
                <w:rFonts w:eastAsia="Times New Roman"/>
                <w:bCs/>
                <w:sz w:val="16"/>
                <w:szCs w:val="16"/>
              </w:rPr>
            </w:pPr>
            <w:r>
              <w:rPr>
                <w:rFonts w:eastAsia="Times New Roman"/>
                <w:bCs/>
                <w:sz w:val="16"/>
                <w:szCs w:val="16"/>
              </w:rPr>
              <w:t>38.213</w:t>
            </w:r>
          </w:p>
        </w:tc>
        <w:tc>
          <w:tcPr>
            <w:tcW w:w="5386" w:type="dxa"/>
            <w:tcBorders>
              <w:top w:val="single" w:sz="4" w:space="0" w:color="auto"/>
              <w:left w:val="nil"/>
              <w:bottom w:val="single" w:sz="4" w:space="0" w:color="auto"/>
              <w:right w:val="single" w:sz="4" w:space="0" w:color="auto"/>
            </w:tcBorders>
            <w:shd w:val="clear" w:color="auto" w:fill="auto"/>
          </w:tcPr>
          <w:p w14:paraId="0934C4C7" w14:textId="2981FAF0" w:rsidR="00581AC9" w:rsidRDefault="00581AC9" w:rsidP="00581AC9">
            <w:pPr>
              <w:spacing w:after="0"/>
              <w:rPr>
                <w:bCs/>
                <w:sz w:val="16"/>
                <w:szCs w:val="16"/>
                <w:lang w:eastAsia="zh-CN"/>
              </w:rPr>
            </w:pPr>
            <w:r>
              <w:rPr>
                <w:bCs/>
                <w:sz w:val="16"/>
                <w:szCs w:val="16"/>
                <w:lang w:eastAsia="zh-CN"/>
              </w:rPr>
              <w:t>New parameter, if the existing configuration parameter is not extended to be applicable in the new configuration case.</w:t>
            </w:r>
          </w:p>
        </w:tc>
      </w:tr>
    </w:tbl>
    <w:p w14:paraId="0C6E1088" w14:textId="77777777" w:rsidR="00581AC9" w:rsidRDefault="00581AC9" w:rsidP="00581AC9"/>
    <w:p w14:paraId="6A6CD5F1" w14:textId="77777777" w:rsidR="00581AC9" w:rsidRDefault="00581AC9" w:rsidP="00581AC9"/>
    <w:p w14:paraId="6C5862A7" w14:textId="77777777" w:rsidR="00581AC9" w:rsidRPr="005C25A5" w:rsidRDefault="00581AC9" w:rsidP="00581AC9">
      <w:pPr>
        <w:pStyle w:val="Heading2"/>
        <w:numPr>
          <w:ilvl w:val="0"/>
          <w:numId w:val="0"/>
        </w:numPr>
      </w:pPr>
      <w:r>
        <w:t>3.</w:t>
      </w:r>
      <w:r>
        <w:tab/>
      </w:r>
      <w:r w:rsidRPr="005C25A5">
        <w:t>Efficient and low latency serving cell configuration/activation/setup</w:t>
      </w:r>
    </w:p>
    <w:p w14:paraId="15CD9449" w14:textId="77777777" w:rsidR="00581AC9" w:rsidRDefault="00581AC9" w:rsidP="00581AC9">
      <w:r>
        <w:t>No agreements that can be translated to RRC parameters</w:t>
      </w:r>
    </w:p>
    <w:p w14:paraId="0ABE727D" w14:textId="77777777" w:rsidR="00581AC9" w:rsidRDefault="00581AC9" w:rsidP="00581AC9"/>
    <w:p w14:paraId="473AE134" w14:textId="77777777" w:rsidR="00581AC9" w:rsidRPr="005C25A5" w:rsidRDefault="00581AC9" w:rsidP="00581AC9">
      <w:pPr>
        <w:pStyle w:val="Heading2"/>
        <w:numPr>
          <w:ilvl w:val="0"/>
          <w:numId w:val="0"/>
        </w:numPr>
      </w:pPr>
      <w:r w:rsidRPr="00B34E55">
        <w:t>4</w:t>
      </w:r>
      <w:r>
        <w:t>.</w:t>
      </w:r>
      <w:r w:rsidRPr="00B34E55">
        <w:tab/>
        <w:t>Cross-carrier scheduling with different numerologies on the scheduling and scheduled carriers</w:t>
      </w:r>
    </w:p>
    <w:p w14:paraId="38DE5FC8" w14:textId="77777777" w:rsidR="00581AC9" w:rsidRDefault="005446B1" w:rsidP="00581AC9">
      <w:hyperlink r:id="rId15" w:history="1">
        <w:r w:rsidR="00581AC9" w:rsidRPr="000F4915">
          <w:rPr>
            <w:rStyle w:val="Hyperlink"/>
          </w:rPr>
          <w:t>R1-1907953</w:t>
        </w:r>
      </w:hyperlink>
      <w:r w:rsidR="00581AC9">
        <w:t xml:space="preserve"> </w:t>
      </w:r>
      <w:r w:rsidR="00581AC9" w:rsidRPr="000F4915">
        <w:t xml:space="preserve">LS </w:t>
      </w:r>
      <w:r w:rsidR="00581AC9">
        <w:t xml:space="preserve">[to RAN2] </w:t>
      </w:r>
      <w:r w:rsidR="00581AC9" w:rsidRPr="000F4915">
        <w:t>on RRC parameters for Cross-carrier scheduling with different numerologies</w:t>
      </w:r>
    </w:p>
    <w:p w14:paraId="460D57F8" w14:textId="77777777" w:rsidR="00581AC9" w:rsidRDefault="00581AC9" w:rsidP="00581AC9">
      <w:pPr>
        <w:pStyle w:val="ListParagraph"/>
        <w:numPr>
          <w:ilvl w:val="0"/>
          <w:numId w:val="59"/>
        </w:numPr>
        <w:autoSpaceDE w:val="0"/>
        <w:autoSpaceDN w:val="0"/>
        <w:adjustRightInd w:val="0"/>
        <w:snapToGrid w:val="0"/>
        <w:spacing w:after="120" w:line="240" w:lineRule="auto"/>
        <w:contextualSpacing w:val="0"/>
        <w:jc w:val="both"/>
      </w:pPr>
      <w:r>
        <w:t>The configuration of a scheduled cell with a different SCS than the scheduling cell does not as such lead to any new configuration parameters according to RAN1 agreements. However, if there are any restrictions in the 38.331 limiting the cross-carrier configuration to carriers of the same SCS then these restrictions should be removed</w:t>
      </w:r>
    </w:p>
    <w:p w14:paraId="08F4968B" w14:textId="77777777" w:rsidR="00581AC9" w:rsidRDefault="00581AC9" w:rsidP="00581AC9">
      <w:pPr>
        <w:pStyle w:val="ListParagraph"/>
        <w:numPr>
          <w:ilvl w:val="0"/>
          <w:numId w:val="59"/>
        </w:numPr>
        <w:autoSpaceDE w:val="0"/>
        <w:autoSpaceDN w:val="0"/>
        <w:adjustRightInd w:val="0"/>
        <w:snapToGrid w:val="0"/>
        <w:spacing w:after="120" w:line="240" w:lineRule="auto"/>
        <w:contextualSpacing w:val="0"/>
        <w:jc w:val="both"/>
      </w:pPr>
      <w:r>
        <w:t>E</w:t>
      </w:r>
      <w:r w:rsidRPr="00B34E55">
        <w:t>nable configuring the HARQ-ACK codebook type and HARQ-ACK spatial bundling configurations per PUCCH group in Rel-16.</w:t>
      </w:r>
    </w:p>
    <w:p w14:paraId="2A4016FB" w14:textId="77777777" w:rsidR="00581AC9" w:rsidRDefault="00581AC9" w:rsidP="00581AC9"/>
    <w:p w14:paraId="77BE75C5" w14:textId="77777777" w:rsidR="00581AC9" w:rsidRPr="005C25A5" w:rsidRDefault="00581AC9" w:rsidP="00581AC9">
      <w:pPr>
        <w:pStyle w:val="Heading2"/>
        <w:numPr>
          <w:ilvl w:val="0"/>
          <w:numId w:val="0"/>
        </w:numPr>
      </w:pPr>
      <w:r>
        <w:t>5.</w:t>
      </w:r>
      <w:r>
        <w:tab/>
      </w:r>
      <w:r w:rsidRPr="005C25A5">
        <w:t>Aperiodic CSI-RS triggering with different numerology between CSI-RS and triggering PDCCH</w:t>
      </w:r>
    </w:p>
    <w:p w14:paraId="60B8F78E" w14:textId="77777777" w:rsidR="00581AC9" w:rsidRDefault="00581AC9" w:rsidP="00581AC9">
      <w:r>
        <w:t>No agreements</w:t>
      </w:r>
    </w:p>
    <w:p w14:paraId="32FDFF7E" w14:textId="77777777" w:rsidR="00581AC9" w:rsidRDefault="00581AC9" w:rsidP="00581AC9"/>
    <w:p w14:paraId="553F56BE" w14:textId="77777777" w:rsidR="00581AC9" w:rsidRPr="005C25A5" w:rsidRDefault="00581AC9" w:rsidP="00581AC9">
      <w:pPr>
        <w:pStyle w:val="Heading2"/>
        <w:numPr>
          <w:ilvl w:val="0"/>
          <w:numId w:val="0"/>
        </w:numPr>
      </w:pPr>
      <w:r>
        <w:t>6.</w:t>
      </w:r>
      <w:r>
        <w:tab/>
      </w:r>
      <w:r w:rsidRPr="005C25A5">
        <w:t>Unaligned frame boundary with slot alignment and partial SFN alignment for R16 NR inter-band CA</w:t>
      </w:r>
    </w:p>
    <w:p w14:paraId="4E42E5DC" w14:textId="323A4F1F" w:rsidR="00A74C0F" w:rsidRPr="00A74C0F" w:rsidRDefault="00581AC9" w:rsidP="00581AC9">
      <w:pPr>
        <w:rPr>
          <w:b/>
          <w:bCs/>
          <w:iCs/>
          <w:lang w:eastAsia="x-none"/>
        </w:rPr>
      </w:pPr>
      <w:r>
        <w:t>Only UE capability related RRC signalling foreseen.</w:t>
      </w:r>
    </w:p>
    <w:sectPr w:rsidR="00A74C0F" w:rsidRPr="00A74C0F" w:rsidSect="00581AC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40F8A" w14:textId="77777777" w:rsidR="005446B1" w:rsidRDefault="005446B1">
      <w:r>
        <w:separator/>
      </w:r>
    </w:p>
  </w:endnote>
  <w:endnote w:type="continuationSeparator" w:id="0">
    <w:p w14:paraId="78B692A6" w14:textId="77777777" w:rsidR="005446B1" w:rsidRDefault="0054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31B91" w14:textId="77777777" w:rsidR="005446B1" w:rsidRDefault="005446B1">
      <w:r>
        <w:separator/>
      </w:r>
    </w:p>
  </w:footnote>
  <w:footnote w:type="continuationSeparator" w:id="0">
    <w:p w14:paraId="695DB7F0" w14:textId="77777777" w:rsidR="005446B1" w:rsidRDefault="005446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DA573A4"/>
    <w:multiLevelType w:val="hybridMultilevel"/>
    <w:tmpl w:val="B498B63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31"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34"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C2D643D"/>
    <w:multiLevelType w:val="hybridMultilevel"/>
    <w:tmpl w:val="7F963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6"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58"/>
  </w:num>
  <w:num w:numId="3">
    <w:abstractNumId w:val="0"/>
  </w:num>
  <w:num w:numId="4">
    <w:abstractNumId w:val="24"/>
  </w:num>
  <w:num w:numId="5">
    <w:abstractNumId w:val="39"/>
  </w:num>
  <w:num w:numId="6">
    <w:abstractNumId w:val="11"/>
  </w:num>
  <w:num w:numId="7">
    <w:abstractNumId w:val="9"/>
  </w:num>
  <w:num w:numId="8">
    <w:abstractNumId w:val="54"/>
  </w:num>
  <w:num w:numId="9">
    <w:abstractNumId w:val="35"/>
  </w:num>
  <w:num w:numId="10">
    <w:abstractNumId w:val="53"/>
  </w:num>
  <w:num w:numId="11">
    <w:abstractNumId w:val="21"/>
  </w:num>
  <w:num w:numId="12">
    <w:abstractNumId w:val="30"/>
  </w:num>
  <w:num w:numId="13">
    <w:abstractNumId w:val="33"/>
  </w:num>
  <w:num w:numId="14">
    <w:abstractNumId w:val="27"/>
  </w:num>
  <w:num w:numId="15">
    <w:abstractNumId w:val="55"/>
  </w:num>
  <w:num w:numId="16">
    <w:abstractNumId w:val="51"/>
  </w:num>
  <w:num w:numId="17">
    <w:abstractNumId w:val="56"/>
  </w:num>
  <w:num w:numId="18">
    <w:abstractNumId w:val="45"/>
  </w:num>
  <w:num w:numId="19">
    <w:abstractNumId w:val="13"/>
  </w:num>
  <w:num w:numId="20">
    <w:abstractNumId w:val="41"/>
  </w:num>
  <w:num w:numId="21">
    <w:abstractNumId w:val="12"/>
  </w:num>
  <w:num w:numId="22">
    <w:abstractNumId w:val="6"/>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num>
  <w:num w:numId="58">
    <w:abstractNumId w:val="8"/>
  </w:num>
  <w:num w:numId="59">
    <w:abstractNumId w:val="3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5FC0"/>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5296"/>
    <w:rsid w:val="001C66AC"/>
    <w:rsid w:val="001C6754"/>
    <w:rsid w:val="001C77F0"/>
    <w:rsid w:val="001C7CE6"/>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D7E90"/>
    <w:rsid w:val="002E0692"/>
    <w:rsid w:val="002E1D74"/>
    <w:rsid w:val="002E2943"/>
    <w:rsid w:val="002E2CF1"/>
    <w:rsid w:val="002E34AF"/>
    <w:rsid w:val="002E4AAC"/>
    <w:rsid w:val="002E53DE"/>
    <w:rsid w:val="002E563B"/>
    <w:rsid w:val="002E5F76"/>
    <w:rsid w:val="002E62D2"/>
    <w:rsid w:val="002E734F"/>
    <w:rsid w:val="002E74AF"/>
    <w:rsid w:val="002E758C"/>
    <w:rsid w:val="002E7A27"/>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452"/>
    <w:rsid w:val="004F3B71"/>
    <w:rsid w:val="004F3FE5"/>
    <w:rsid w:val="004F5154"/>
    <w:rsid w:val="004F53C2"/>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6B1"/>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AC9"/>
    <w:rsid w:val="00581B62"/>
    <w:rsid w:val="00581BAD"/>
    <w:rsid w:val="00582087"/>
    <w:rsid w:val="00582F21"/>
    <w:rsid w:val="005831DD"/>
    <w:rsid w:val="00584320"/>
    <w:rsid w:val="00585484"/>
    <w:rsid w:val="005856FF"/>
    <w:rsid w:val="00585BE0"/>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AE"/>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3933"/>
    <w:rsid w:val="0062462F"/>
    <w:rsid w:val="00624BA1"/>
    <w:rsid w:val="0062661B"/>
    <w:rsid w:val="00626C1D"/>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08C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082B"/>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4C0F"/>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616D"/>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07F85"/>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67D48"/>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4"/>
    <w:rsid w:val="00DB49B6"/>
    <w:rsid w:val="00DB4E06"/>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5641"/>
    <w:rsid w:val="00F560FE"/>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5D41"/>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4"/>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3"/>
      </w:numPr>
    </w:pPr>
    <w:rPr>
      <w:rFonts w:eastAsia="Times New Roman"/>
    </w:rPr>
  </w:style>
  <w:style w:type="paragraph" w:customStyle="1" w:styleId="1">
    <w:name w:val="正文1"/>
    <w:rsid w:val="00237CA6"/>
    <w:rPr>
      <w:rFonts w:ascii="Times" w:hAnsi="Times"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85465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790543">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4655711">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31044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35006549">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16058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5/Docs/RP-19233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1_rl1/tsgr1_97/docs/R1-190795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8/docs/R1-19098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A3196FC0-442F-499A-B6E8-7885E6097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2</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cp:revision>
  <cp:lastPrinted>2016-06-20T06:35:00Z</cp:lastPrinted>
  <dcterms:created xsi:type="dcterms:W3CDTF">2019-09-25T18:00:00Z</dcterms:created>
  <dcterms:modified xsi:type="dcterms:W3CDTF">2019-09-30T07:35:00Z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